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60" w:type="pct"/>
        <w:tblInd w:w="87" w:type="dxa"/>
        <w:tblLook w:val="04A0"/>
      </w:tblPr>
      <w:tblGrid>
        <w:gridCol w:w="1155"/>
        <w:gridCol w:w="1985"/>
        <w:gridCol w:w="283"/>
        <w:gridCol w:w="1958"/>
        <w:gridCol w:w="1556"/>
        <w:gridCol w:w="1028"/>
        <w:gridCol w:w="1908"/>
        <w:gridCol w:w="1028"/>
      </w:tblGrid>
      <w:tr w:rsidR="00932F7A" w:rsidRPr="00932F7A" w:rsidTr="00932F7A">
        <w:trPr>
          <w:trHeight w:val="255"/>
        </w:trPr>
        <w:tc>
          <w:tcPr>
            <w:tcW w:w="1155" w:type="dxa"/>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Level</w:t>
            </w:r>
          </w:p>
        </w:tc>
        <w:tc>
          <w:tcPr>
            <w:tcW w:w="1985" w:type="dxa"/>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283" w:type="dxa"/>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3514" w:type="dxa"/>
            <w:gridSpan w:val="2"/>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Kabupaten Sigi-Biromaru</w:t>
            </w:r>
          </w:p>
        </w:tc>
        <w:tc>
          <w:tcPr>
            <w:tcW w:w="1028" w:type="dxa"/>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1908" w:type="dxa"/>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1028" w:type="dxa"/>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255"/>
        </w:trPr>
        <w:tc>
          <w:tcPr>
            <w:tcW w:w="3140" w:type="dxa"/>
            <w:gridSpan w:val="2"/>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Komponen</w:t>
            </w:r>
          </w:p>
        </w:tc>
        <w:tc>
          <w:tcPr>
            <w:tcW w:w="283" w:type="dxa"/>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3514" w:type="dxa"/>
            <w:gridSpan w:val="2"/>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Implementasi Kinerja</w:t>
            </w:r>
          </w:p>
        </w:tc>
        <w:tc>
          <w:tcPr>
            <w:tcW w:w="1028" w:type="dxa"/>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1908" w:type="dxa"/>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1028" w:type="dxa"/>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255"/>
        </w:trPr>
        <w:tc>
          <w:tcPr>
            <w:tcW w:w="1155" w:type="dxa"/>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985" w:type="dxa"/>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283" w:type="dxa"/>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958" w:type="dxa"/>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6" w:type="dxa"/>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028" w:type="dxa"/>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908" w:type="dxa"/>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028" w:type="dxa"/>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255"/>
        </w:trPr>
        <w:tc>
          <w:tcPr>
            <w:tcW w:w="3423" w:type="dxa"/>
            <w:gridSpan w:val="3"/>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Isu dalam PGA REDD+</w:t>
            </w:r>
          </w:p>
        </w:tc>
        <w:tc>
          <w:tcPr>
            <w:tcW w:w="6450" w:type="dxa"/>
            <w:gridSpan w:val="4"/>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I. Perencanaan Kehutanan dan Tata Ruang </w:t>
            </w:r>
          </w:p>
        </w:tc>
        <w:tc>
          <w:tcPr>
            <w:tcW w:w="1028" w:type="dxa"/>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3140" w:type="dxa"/>
            <w:gridSpan w:val="2"/>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283" w:type="dxa"/>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478" w:type="dxa"/>
            <w:gridSpan w:val="5"/>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a. Tingkat penerimaan (legitimasi) atas dokumen RTRWP/RTRWK/Kehutanan</w:t>
            </w:r>
          </w:p>
        </w:tc>
      </w:tr>
      <w:tr w:rsidR="00932F7A" w:rsidRPr="00932F7A" w:rsidTr="00932F7A">
        <w:trPr>
          <w:trHeight w:val="300"/>
        </w:trPr>
        <w:tc>
          <w:tcPr>
            <w:tcW w:w="3140" w:type="dxa"/>
            <w:gridSpan w:val="2"/>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Wawancara – Sumber informasi</w:t>
            </w:r>
          </w:p>
        </w:tc>
        <w:tc>
          <w:tcPr>
            <w:tcW w:w="283" w:type="dxa"/>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60" w:type="pct"/>
        <w:tblInd w:w="87" w:type="dxa"/>
        <w:tblLayout w:type="fixed"/>
        <w:tblLook w:val="04A0"/>
      </w:tblPr>
      <w:tblGrid>
        <w:gridCol w:w="729"/>
        <w:gridCol w:w="1325"/>
        <w:gridCol w:w="1777"/>
        <w:gridCol w:w="1168"/>
        <w:gridCol w:w="1825"/>
        <w:gridCol w:w="1143"/>
        <w:gridCol w:w="1551"/>
        <w:gridCol w:w="1382"/>
      </w:tblGrid>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1785"/>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FIa1</w:t>
            </w:r>
          </w:p>
        </w:tc>
        <w:tc>
          <w:tcPr>
            <w:tcW w:w="1325" w:type="dxa"/>
            <w:vMerge w:val="restart"/>
            <w:tcBorders>
              <w:top w:val="nil"/>
              <w:left w:val="single" w:sz="4" w:space="0" w:color="auto"/>
              <w:bottom w:val="single" w:sz="4" w:space="0" w:color="000000"/>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777" w:type="dxa"/>
            <w:vMerge w:val="restart"/>
            <w:tcBorders>
              <w:top w:val="nil"/>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xml:space="preserve">Bagaimana (tingkat) penerimaan (legitimasi) </w:t>
            </w:r>
            <w:r w:rsidRPr="00932F7A">
              <w:rPr>
                <w:rFonts w:ascii="Times New Roman" w:eastAsia="Times New Roman" w:hAnsi="Times New Roman" w:cs="Times New Roman"/>
                <w:i/>
                <w:iCs/>
                <w:color w:val="000000"/>
                <w:sz w:val="20"/>
                <w:szCs w:val="20"/>
                <w:lang w:eastAsia="id-ID"/>
              </w:rPr>
              <w:t xml:space="preserve">stakeholder </w:t>
            </w:r>
            <w:r w:rsidRPr="00932F7A">
              <w:rPr>
                <w:rFonts w:ascii="Times New Roman" w:eastAsia="Times New Roman" w:hAnsi="Times New Roman" w:cs="Times New Roman"/>
                <w:color w:val="000000"/>
                <w:sz w:val="20"/>
                <w:szCs w:val="20"/>
                <w:lang w:eastAsia="id-ID"/>
              </w:rPr>
              <w:t>atas dokumen RTRWP/RTRWK/Kehutanan?</w:t>
            </w:r>
          </w:p>
        </w:tc>
        <w:tc>
          <w:tcPr>
            <w:tcW w:w="1168" w:type="dxa"/>
            <w:tcBorders>
              <w:top w:val="nil"/>
              <w:left w:val="nil"/>
              <w:bottom w:val="single" w:sz="4" w:space="0" w:color="auto"/>
              <w:right w:val="single" w:sz="4" w:space="0" w:color="auto"/>
            </w:tcBorders>
            <w:shd w:val="clear" w:color="000000" w:fill="FFFFFF"/>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xml:space="preserve">Persetujuan bersama DPRD dan Bupati Kab. SIGI mengenai RTRWP dengan No. </w:t>
            </w:r>
            <w:r w:rsidRPr="00932F7A">
              <w:rPr>
                <w:rFonts w:ascii="Times New Roman" w:eastAsia="Times New Roman" w:hAnsi="Times New Roman" w:cs="Times New Roman"/>
                <w:color w:val="000000"/>
                <w:sz w:val="20"/>
                <w:szCs w:val="20"/>
                <w:u w:val="single"/>
                <w:lang w:eastAsia="id-ID"/>
              </w:rPr>
              <w:t>188.342/1895/DPRD-B.SIGI/2011</w:t>
            </w:r>
            <w:r w:rsidRPr="00932F7A">
              <w:rPr>
                <w:rFonts w:ascii="Times New Roman" w:eastAsia="Times New Roman" w:hAnsi="Times New Roman" w:cs="Times New Roman"/>
                <w:color w:val="000000"/>
                <w:sz w:val="20"/>
                <w:szCs w:val="20"/>
                <w:lang w:eastAsia="id-ID"/>
              </w:rPr>
              <w:br/>
              <w:t>282/170/DPRD-SIGI/X/2011</w:t>
            </w:r>
            <w:r w:rsidRPr="00932F7A">
              <w:rPr>
                <w:rFonts w:ascii="Times New Roman" w:eastAsia="Times New Roman" w:hAnsi="Times New Roman" w:cs="Times New Roman"/>
                <w:color w:val="000000"/>
                <w:sz w:val="20"/>
                <w:szCs w:val="20"/>
                <w:lang w:eastAsia="id-ID"/>
              </w:rPr>
              <w:br/>
              <w:t>Tertanggal 26 Oktober 2011</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Kita belum mengetahui karena belum ada sosialisasi, tetapi sekarang ini sudah jadi kalau tidak salahitu, karena sudah sering di bahas di tingkat DPRD kabupaten Sigi.</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2010"/>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000000" w:fill="FFFFFF"/>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PU</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xml:space="preserve">Persetujuan bersama DPRD dan Bupati Kab. SIGI mengenai RTRWP dengan No. </w:t>
            </w:r>
            <w:r w:rsidRPr="00932F7A">
              <w:rPr>
                <w:rFonts w:ascii="Times New Roman" w:eastAsia="Times New Roman" w:hAnsi="Times New Roman" w:cs="Times New Roman"/>
                <w:color w:val="000000"/>
                <w:sz w:val="20"/>
                <w:szCs w:val="20"/>
                <w:u w:val="single"/>
                <w:lang w:eastAsia="id-ID"/>
              </w:rPr>
              <w:t>188.342/1895/DPRD-B.SIGI/2011</w:t>
            </w:r>
            <w:r w:rsidRPr="00932F7A">
              <w:rPr>
                <w:rFonts w:ascii="Times New Roman" w:eastAsia="Times New Roman" w:hAnsi="Times New Roman" w:cs="Times New Roman"/>
                <w:color w:val="000000"/>
                <w:sz w:val="20"/>
                <w:szCs w:val="20"/>
                <w:lang w:eastAsia="id-ID"/>
              </w:rPr>
              <w:br/>
              <w:t>282/170/DPRD-SIGI/X/2011</w:t>
            </w:r>
            <w:r w:rsidRPr="00932F7A">
              <w:rPr>
                <w:rFonts w:ascii="Times New Roman" w:eastAsia="Times New Roman" w:hAnsi="Times New Roman" w:cs="Times New Roman"/>
                <w:color w:val="000000"/>
                <w:sz w:val="20"/>
                <w:szCs w:val="20"/>
                <w:lang w:eastAsia="id-ID"/>
              </w:rPr>
              <w:br/>
              <w:t>Tertanggal 26 Oktober 2011</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Saya belum tau karena baru selesai ketuknya di tingkat DPRD Kabupaten, tetapi belum diundangkan. Dan belum ada sosialisasi. Harapan kalau saya mudah-mudahan semua dapat menerima dengan baik</w:t>
            </w:r>
          </w:p>
        </w:tc>
        <w:tc>
          <w:tcPr>
            <w:tcW w:w="1382" w:type="dxa"/>
            <w:tcBorders>
              <w:top w:val="nil"/>
              <w:left w:val="nil"/>
              <w:bottom w:val="single" w:sz="4" w:space="0" w:color="auto"/>
              <w:right w:val="single" w:sz="4" w:space="0" w:color="auto"/>
            </w:tcBorders>
            <w:shd w:val="clear" w:color="000000" w:fill="FFFFFF"/>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76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000000" w:fill="FFFFFF"/>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LSM</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Kalau di SIGI kita belum mengetahui karena belum lahir RTRWP yang sudah disahkan.</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130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000000" w:fill="FFFFFF"/>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Organisasi Masyarakat Adat Lokal</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bisa diukur tingkat penerimaannya walaupun sudah sering diadakan FGD, karena belum diterima RTRWP.</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76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000000" w:fill="FFFFFF"/>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Asosiasi Pengusaha</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Lebaga kami belum pernah mendapatkan RTRWP terbaru dari kabupaten SIGI.</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148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000000" w:fill="FFFFFF"/>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Akademisi</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Saya belum bisa menilai, karena RTRWP di sana (SIGI) kalau tidak salah belum diundangkan. Jadi tentunya belum di sosialisasikan sampai ke stakeholders</w:t>
            </w:r>
          </w:p>
        </w:tc>
        <w:tc>
          <w:tcPr>
            <w:tcW w:w="1382" w:type="dxa"/>
            <w:tcBorders>
              <w:top w:val="nil"/>
              <w:left w:val="nil"/>
              <w:bottom w:val="single" w:sz="4" w:space="0" w:color="auto"/>
              <w:right w:val="single" w:sz="4" w:space="0" w:color="auto"/>
            </w:tcBorders>
            <w:shd w:val="clear" w:color="000000" w:fill="FFFFFF"/>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3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932F7A" w:rsidRPr="00932F7A" w:rsidTr="00932F7A">
        <w:trPr>
          <w:trHeight w:val="102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Wawancara – Sumber informasi</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1425"/>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FIb1</w:t>
            </w:r>
          </w:p>
        </w:tc>
        <w:tc>
          <w:tcPr>
            <w:tcW w:w="1325" w:type="dxa"/>
            <w:vMerge w:val="restart"/>
            <w:tcBorders>
              <w:top w:val="nil"/>
              <w:left w:val="single" w:sz="4" w:space="0" w:color="auto"/>
              <w:bottom w:val="single" w:sz="4" w:space="0" w:color="000000"/>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Jumlah luas kawasan hutan yang dikukuhkan dan dite-rima oleh para pihak</w:t>
            </w:r>
          </w:p>
        </w:tc>
        <w:tc>
          <w:tcPr>
            <w:tcW w:w="1777" w:type="dxa"/>
            <w:vMerge w:val="restart"/>
            <w:tcBorders>
              <w:top w:val="nil"/>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Buku penunjang pelaksanaan penyuluhan Pertanian, Perikanan dan Kehutanan Kab. Sigi 2012</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diketahuipenerimaannya karena belum ada sosialisasi selama ini. Tetapi saya kira dapat diterima karena sudah sering diadakan diskusi kelompok</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166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LSM</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yang dipegang oleh LSM</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Sebenarnya masyarakat di sekitar kawasan hutan lindung kurang menerima penetapan kawasan yang tidak jelas karena sampai mengenai lahan kebun mereka, tetapi masyarakat tidak memiliki daya.</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178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Organisasi Masyarakat Adat Lokal</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yang dipegang oleh Organisasi Masyarakat</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xml:space="preserve">Belum bisa diketahui, tetapi masalah penentuan wilayah kawasan tanaman nasional itu yang sering dikeluhkan oleh masyarakat, </w:t>
            </w:r>
            <w:r w:rsidRPr="00932F7A">
              <w:rPr>
                <w:rFonts w:ascii="Times New Roman" w:eastAsia="Times New Roman" w:hAnsi="Times New Roman" w:cs="Times New Roman"/>
                <w:color w:val="000000"/>
                <w:sz w:val="20"/>
                <w:szCs w:val="20"/>
                <w:lang w:eastAsia="id-ID"/>
              </w:rPr>
              <w:lastRenderedPageBreak/>
              <w:t>karena ada beberapa kebun masyarakat masuk di dalam kawasan Taman Nasional</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lastRenderedPageBreak/>
              <w:t>1</w:t>
            </w:r>
          </w:p>
        </w:tc>
      </w:tr>
      <w:tr w:rsidR="00932F7A" w:rsidRPr="00932F7A" w:rsidTr="00932F7A">
        <w:trPr>
          <w:trHeight w:val="2730"/>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Akademisi</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yang dipegang oleh Akademisi</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Kawasan hutan atau Taman Nasional di Lindu sejauh yang saya dengar, beberapa masyarakat merasa perlu didudukkan kembali, karena ada wilayah yang sudah masuk ke wilayah kebun mereka. Pemahaman yang berkembang adalah bahwa mereka lebih dulu berada di sana dari pada pengukuhan batas wilayah taman nasional.</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3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9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932F7A" w:rsidRPr="00932F7A" w:rsidTr="00932F7A">
        <w:trPr>
          <w:trHeight w:val="1005"/>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Wawancara – Sumber informasi</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1530"/>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FIc1</w:t>
            </w:r>
          </w:p>
        </w:tc>
        <w:tc>
          <w:tcPr>
            <w:tcW w:w="1325" w:type="dxa"/>
            <w:vMerge w:val="restart"/>
            <w:tcBorders>
              <w:top w:val="nil"/>
              <w:left w:val="single" w:sz="4" w:space="0" w:color="auto"/>
              <w:bottom w:val="single" w:sz="4" w:space="0" w:color="000000"/>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777" w:type="dxa"/>
            <w:vMerge w:val="restart"/>
            <w:tcBorders>
              <w:top w:val="nil"/>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Brosur Dinas Kehutanan dan Perkebunan Kabupaten Sigi.</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Sudah cukup memadai, sudah diproses beberapa kali di Dewan, sebagai perwakilan masyarakat dia harus memperhatikan persoalan dan apa yang dibutuhkan oleh masyarakat</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85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LSM</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LSM Tidak memiliki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Selama ini tidak terealisasi denga baik ruang kelola masyarakat, luas ruang mereka sangat terbatas.</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127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Organisasi Masyarakat Adat Lokal</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Organisasi Masyarakat Tidak memiliki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Di propinsi masih sering didebat, apalagi di tingkat kabupaten. Wilayah tatakelola itu yang sering terjadi persoalan.</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1530"/>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Akademisi</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Akademisi tidak memiliki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FFFFFF"/>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Tata ruang kelola ini yang betul-betul harus dkelola dengan bijaksana supaya tidak menimbulkan persoalan di tengah-tengah masyarakat. Karena ini berpotensi menimbulkan konflik.</w:t>
            </w:r>
          </w:p>
        </w:tc>
        <w:tc>
          <w:tcPr>
            <w:tcW w:w="1382" w:type="dxa"/>
            <w:tcBorders>
              <w:top w:val="nil"/>
              <w:left w:val="nil"/>
              <w:bottom w:val="single" w:sz="4" w:space="0" w:color="auto"/>
              <w:right w:val="single" w:sz="4" w:space="0" w:color="auto"/>
            </w:tcBorders>
            <w:shd w:val="clear" w:color="000000" w:fill="FFFFFF"/>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3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932F7A" w:rsidRPr="00932F7A" w:rsidTr="00932F7A">
        <w:trPr>
          <w:trHeight w:val="975"/>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Wawancara – Sumber informasi</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765"/>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FId1</w:t>
            </w:r>
          </w:p>
        </w:tc>
        <w:tc>
          <w:tcPr>
            <w:tcW w:w="1325" w:type="dxa"/>
            <w:vMerge w:val="restart"/>
            <w:tcBorders>
              <w:top w:val="nil"/>
              <w:left w:val="single" w:sz="4" w:space="0" w:color="auto"/>
              <w:bottom w:val="single" w:sz="4" w:space="0" w:color="000000"/>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Hasil mediasi bisa diterima oleh semua pihak dan dijalankan secara konsisten</w:t>
            </w:r>
          </w:p>
        </w:tc>
        <w:tc>
          <w:tcPr>
            <w:tcW w:w="1777" w:type="dxa"/>
            <w:vMerge w:val="restart"/>
            <w:tcBorders>
              <w:top w:val="nil"/>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ada konflik kawasan sejauh ini yg saya lihat, kalau pertikaian kecil-kecil ada saja.</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1470"/>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LSM</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Sudah memadaidan kalau di Sigi sendiri itu belum ada konflik kawasan hutan yang ada konflik antar desa, penyebabnya bukan karena perebutan lahan hutan.</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121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Organisasi Masyarakat Adat Lokal</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Konfliknya sendiri belum ada yang ekstrim, kalaupun ada semua masih bisa dimediasi artinya masih dalam batas terkendali.</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178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Akademisi</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Saya juga tidak tahu, tetapi kan bisa kita lihat eksesnya sejauh ini belum ada konflik yang sangat keras resistensinya. Kecuali konflik di beberapa wilayah di Sigi inikan konfliknya dalam perebutan lahan konteksnya lain.</w:t>
            </w:r>
          </w:p>
        </w:tc>
        <w:tc>
          <w:tcPr>
            <w:tcW w:w="1382" w:type="dxa"/>
            <w:tcBorders>
              <w:top w:val="nil"/>
              <w:left w:val="nil"/>
              <w:bottom w:val="single" w:sz="4" w:space="0" w:color="auto"/>
              <w:right w:val="single" w:sz="4" w:space="0" w:color="auto"/>
            </w:tcBorders>
            <w:shd w:val="clear" w:color="000000" w:fill="FFFFFF"/>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3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255"/>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Isu dalam PGA REDD+</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2993"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II. Pengaturan Hak  </w:t>
            </w:r>
          </w:p>
        </w:tc>
        <w:tc>
          <w:tcPr>
            <w:tcW w:w="1143"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1551"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p>
        </w:tc>
      </w:tr>
      <w:tr w:rsidR="00932F7A" w:rsidRPr="00932F7A" w:rsidTr="00932F7A">
        <w:trPr>
          <w:trHeight w:val="6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932F7A">
              <w:rPr>
                <w:rFonts w:ascii="Times New Roman" w:eastAsia="Times New Roman" w:hAnsi="Times New Roman" w:cs="Times New Roman"/>
                <w:b/>
                <w:bCs/>
                <w:color w:val="000000"/>
                <w:sz w:val="20"/>
                <w:szCs w:val="20"/>
                <w:lang w:eastAsia="id-ID"/>
              </w:rPr>
              <w:br/>
              <w:t xml:space="preserve">   masyarakat dan bisnis di Kementerian/SKPD </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 Kementerian/Dinas Kehutanan (Unit Pemberi Izin)</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1530"/>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FIIa1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777"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informasi tertulis di kabupaten Sigi.</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3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6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932F7A">
              <w:rPr>
                <w:rFonts w:ascii="Times New Roman" w:eastAsia="Times New Roman" w:hAnsi="Times New Roman" w:cs="Times New Roman"/>
                <w:b/>
                <w:bCs/>
                <w:color w:val="000000"/>
                <w:sz w:val="20"/>
                <w:szCs w:val="20"/>
                <w:lang w:eastAsia="id-ID"/>
              </w:rPr>
              <w:br/>
              <w:t xml:space="preserve">   masyarakat dan bisnis di Kementerian/SKPD </w:t>
            </w:r>
            <w:r w:rsidRPr="00932F7A">
              <w:rPr>
                <w:rFonts w:ascii="Times New Roman" w:eastAsia="Times New Roman" w:hAnsi="Times New Roman" w:cs="Times New Roman"/>
                <w:b/>
                <w:bCs/>
                <w:color w:val="000000"/>
                <w:sz w:val="20"/>
                <w:szCs w:val="20"/>
                <w:lang w:eastAsia="id-ID"/>
              </w:rPr>
              <w:br/>
              <w:t xml:space="preserve"> </w:t>
            </w:r>
          </w:p>
        </w:tc>
      </w:tr>
      <w:tr w:rsidR="00932F7A" w:rsidRPr="00932F7A" w:rsidTr="00932F7A">
        <w:trPr>
          <w:trHeight w:val="6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932F7A">
              <w:rPr>
                <w:rFonts w:ascii="Times New Roman" w:eastAsia="Times New Roman" w:hAnsi="Times New Roman" w:cs="Times New Roman"/>
                <w:b/>
                <w:bCs/>
                <w:color w:val="000000"/>
                <w:sz w:val="20"/>
                <w:szCs w:val="20"/>
                <w:lang w:eastAsia="id-ID"/>
              </w:rPr>
              <w:br/>
              <w:t xml:space="preserve">  Kementerian/Dinas Kehutanan (Unit Pemberi Izin)</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765"/>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FIIb1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777"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xml:space="preserve">Ada beberapa kawasan hutan yang tidak boleh dijanah yang sudah masuk ke kawasan perkebunan </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3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45"/>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c. Jumlah konflik antar sesama penggunaan kawasan hutan </w:t>
            </w:r>
            <w:r w:rsidRPr="00932F7A">
              <w:rPr>
                <w:rFonts w:ascii="Times New Roman" w:eastAsia="Times New Roman" w:hAnsi="Times New Roman" w:cs="Times New Roman"/>
                <w:b/>
                <w:bCs/>
                <w:color w:val="000000"/>
                <w:sz w:val="20"/>
                <w:szCs w:val="20"/>
                <w:lang w:eastAsia="id-ID"/>
              </w:rPr>
              <w:br/>
              <w:t xml:space="preserve"> </w:t>
            </w:r>
          </w:p>
        </w:tc>
      </w:tr>
      <w:tr w:rsidR="00932F7A" w:rsidRPr="00932F7A" w:rsidTr="00932F7A">
        <w:trPr>
          <w:trHeight w:val="39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lastRenderedPageBreak/>
              <w:t>Sumber Data</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510"/>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FIIc1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xml:space="preserve">Jumlah konflik antar sesama penggunaan kawasan hutan </w:t>
            </w:r>
          </w:p>
        </w:tc>
        <w:tc>
          <w:tcPr>
            <w:tcW w:w="1777"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pernah ada konflik antar sesama pengguna kawasan</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325"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Wawancara - Sumber informasi</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 Pemerintah (Pusat &amp; Daerah), LSM, AMAN</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1395"/>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FIId1</w:t>
            </w:r>
          </w:p>
        </w:tc>
        <w:tc>
          <w:tcPr>
            <w:tcW w:w="1325" w:type="dxa"/>
            <w:vMerge w:val="restart"/>
            <w:tcBorders>
              <w:top w:val="nil"/>
              <w:left w:val="single" w:sz="4" w:space="0" w:color="auto"/>
              <w:bottom w:val="single" w:sz="4" w:space="0" w:color="000000"/>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Pencegahan kekerasan</w:t>
            </w:r>
          </w:p>
        </w:tc>
        <w:tc>
          <w:tcPr>
            <w:tcW w:w="1777" w:type="dxa"/>
            <w:vMerge w:val="restart"/>
            <w:tcBorders>
              <w:top w:val="nil"/>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Kalaupun itu sudah ada kasus, pasti akan dimaksimalkan untuk mencegah kekerasan. Karena pastinya tidak ada yang berharap terus-menerus terjadi kekerasan.</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112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LSM</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Mestinya sudah mencakup semua, kita berharap bahwa proses-proses yang ada jangan membawa korban terlebih pada adanya kekerasan fisik</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109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Organisasi Masyarakat Adat Lokal</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Resolusi konflik patut memuat atau mencakup pengakuan masyarakat adat dan penghilangan kekerasan dalam penanganannya.</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435"/>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FIId2</w:t>
            </w:r>
          </w:p>
        </w:tc>
        <w:tc>
          <w:tcPr>
            <w:tcW w:w="1325" w:type="dxa"/>
            <w:vMerge w:val="restart"/>
            <w:tcBorders>
              <w:top w:val="nil"/>
              <w:left w:val="single" w:sz="4" w:space="0" w:color="auto"/>
              <w:bottom w:val="single" w:sz="4" w:space="0" w:color="000000"/>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Penyelesaian konflik</w:t>
            </w:r>
          </w:p>
        </w:tc>
        <w:tc>
          <w:tcPr>
            <w:tcW w:w="1777" w:type="dxa"/>
            <w:vMerge w:val="restart"/>
            <w:tcBorders>
              <w:top w:val="nil"/>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Bagusnya memang begitu</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1740"/>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LSM</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xml:space="preserve">Komitmen kita manangani suatu masyarakat sedapat mungkin terwujud resolusi konflik. Karena kita tidak mau ke depan terus membara hingga berujung pertikaian atau kekerasan fisik. </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280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Organisasi Masyarakat Adat Lokal</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Kalau ada kasus konflik maka perlu diselesaikan supaya tidak berlarut-larut karena akan merugikan masyarakat dan daerah. Tetapi ada juga yang berpandangan bahwa kalau ada konflik bisa menghambat atau menghalangi pengusaha, apalagi pengusaha yang nakal untuk masuk merambah hutan karena dia takut dengan berbagai resiko kerugian</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795"/>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FIId3</w:t>
            </w:r>
          </w:p>
        </w:tc>
        <w:tc>
          <w:tcPr>
            <w:tcW w:w="1325" w:type="dxa"/>
            <w:vMerge w:val="restart"/>
            <w:tcBorders>
              <w:top w:val="nil"/>
              <w:left w:val="single" w:sz="4" w:space="0" w:color="auto"/>
              <w:bottom w:val="single" w:sz="4" w:space="0" w:color="000000"/>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Penerimaan para pihak</w:t>
            </w:r>
          </w:p>
        </w:tc>
        <w:tc>
          <w:tcPr>
            <w:tcW w:w="1777" w:type="dxa"/>
            <w:vMerge w:val="restart"/>
            <w:tcBorders>
              <w:top w:val="nil"/>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xml:space="preserve">Apakah resolusi konflik terkait pengakuan hak masy adat/lokal sudah mencakup penerimaan </w:t>
            </w:r>
            <w:r w:rsidRPr="00932F7A">
              <w:rPr>
                <w:rFonts w:ascii="Times New Roman" w:eastAsia="Times New Roman" w:hAnsi="Times New Roman" w:cs="Times New Roman"/>
                <w:color w:val="000000"/>
                <w:sz w:val="20"/>
                <w:szCs w:val="20"/>
                <w:lang w:eastAsia="id-ID"/>
              </w:rPr>
              <w:lastRenderedPageBreak/>
              <w:t>para pihak?</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lastRenderedPageBreak/>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Setiap pihak boleh jadi memiliki kepentingan dan argumennya masing-masing</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265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LSM</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Kalau ini seringkali tidak mencakup penerimaan para pihak dan paling sering diabaikan adalah masyarakat. Apalagi kalau sudah masuk ke jalur hukum. Mahakanya masyarakat lebih memilih penyelesaian dengan hukum adat.</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1170"/>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Organisasi Masyarakat Adat Lokal</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Kalau sudah berkonflik sangat sulit menanganinya dan biayanya juga mahal, tetapi tentunya tetap harus dimaksimalkan penyelesaiannya.</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1140"/>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FIId4</w:t>
            </w:r>
          </w:p>
        </w:tc>
        <w:tc>
          <w:tcPr>
            <w:tcW w:w="1325" w:type="dxa"/>
            <w:vMerge w:val="restart"/>
            <w:tcBorders>
              <w:top w:val="nil"/>
              <w:left w:val="single" w:sz="4" w:space="0" w:color="auto"/>
              <w:bottom w:val="single" w:sz="4" w:space="0" w:color="000000"/>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Komitmen tetap dijalankan</w:t>
            </w:r>
          </w:p>
        </w:tc>
        <w:tc>
          <w:tcPr>
            <w:tcW w:w="1777" w:type="dxa"/>
            <w:vMerge w:val="restart"/>
            <w:tcBorders>
              <w:top w:val="nil"/>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bisa dinilai karena belum ada konflik, tetapi kalau ada bagusnya semua komponen berkomitmen atas ketetapan yang telah disepakati.</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160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LSM</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Ketika ada yang tidak tercakup pasti ada saja pelanggaran,sementara yang diuntungkan bisa saja masih mengingkari. Karena masih ada kebutuhannya yang lain yang harus dicapai.</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2040"/>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Organisasi Masyarakat Adat Lokal</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Komitmen ini yang paling sulit dipegang, karena semua orang punya kepentingannya. Pada saat bertemu mungkin sudah ada kesepahaman tetapi setelah itu mereka pelajari kembali dan melihat sisi-sisi bahwa mereka dirugikan, maka lari lagi dari komitmen.</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3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932F7A" w:rsidRPr="00932F7A" w:rsidTr="00932F7A">
        <w:trPr>
          <w:trHeight w:val="255"/>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 Media cetak</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1125"/>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FIIe1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Jurnalis</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Terbitan berita koran Mercusuar dalam bentuk cetak dan di WEB Mersusuar</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Kurang memadai juga kalau yang ini.</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765"/>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FIIe2</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Cakupan berita  mengenai pengakuan pejabat atas hak masyarakat adat</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Jurnalis</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Terbitan berita koran Mercusuar dalam bentuk cetak dan di WEB Mersusuar</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Kurang memadai juga kalau yang ini.</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765"/>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FIIe3</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xml:space="preserve">Posisi berita dalam media cetak </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Apakah Posisi berita dalam media cetak sudah memadai?</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Jurnalis</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Terbitan berita koran Mercusuar dalam bentuk cetak dan di WEB Mersusuar</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c>
          <w:tcPr>
            <w:tcW w:w="1551" w:type="dxa"/>
            <w:tcBorders>
              <w:top w:val="nil"/>
              <w:left w:val="nil"/>
              <w:bottom w:val="single" w:sz="4" w:space="0" w:color="auto"/>
              <w:right w:val="single" w:sz="4" w:space="0" w:color="auto"/>
            </w:tcBorders>
            <w:shd w:val="clear" w:color="000000" w:fill="FFFFFF"/>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karena sebagian diletakkan dihalaman tengah dan tersembunyi.</w:t>
            </w:r>
          </w:p>
        </w:tc>
        <w:tc>
          <w:tcPr>
            <w:tcW w:w="1382" w:type="dxa"/>
            <w:tcBorders>
              <w:top w:val="nil"/>
              <w:left w:val="nil"/>
              <w:bottom w:val="single" w:sz="4" w:space="0" w:color="auto"/>
              <w:right w:val="single" w:sz="4" w:space="0" w:color="auto"/>
            </w:tcBorders>
            <w:shd w:val="clear" w:color="000000" w:fill="FFFFFF"/>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765"/>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FIIe4</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xml:space="preserve">Posisi media dalam pemberitaan </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Apakah Posisi media dalam pemberitaan sudah memadai?</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Jurnalis</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Terbitan berita koran Mercusuar dalam bentuk cetak dan di WEB Mersusuar</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c>
          <w:tcPr>
            <w:tcW w:w="1551" w:type="dxa"/>
            <w:tcBorders>
              <w:top w:val="nil"/>
              <w:left w:val="nil"/>
              <w:bottom w:val="single" w:sz="4" w:space="0" w:color="auto"/>
              <w:right w:val="single" w:sz="4" w:space="0" w:color="auto"/>
            </w:tcBorders>
            <w:shd w:val="clear" w:color="000000" w:fill="FFFFFF"/>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Media juga tidak telalu memberikan perhatian pada pesoalan seperti kehutanan selama ini.</w:t>
            </w:r>
          </w:p>
        </w:tc>
        <w:tc>
          <w:tcPr>
            <w:tcW w:w="1382" w:type="dxa"/>
            <w:tcBorders>
              <w:top w:val="nil"/>
              <w:left w:val="nil"/>
              <w:bottom w:val="single" w:sz="4" w:space="0" w:color="auto"/>
              <w:right w:val="single" w:sz="4" w:space="0" w:color="auto"/>
            </w:tcBorders>
            <w:shd w:val="clear" w:color="000000" w:fill="FFFFFF"/>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3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255"/>
        </w:trPr>
        <w:tc>
          <w:tcPr>
            <w:tcW w:w="3832" w:type="dxa"/>
            <w:gridSpan w:val="3"/>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Isu dalam PGA REDD+</w:t>
            </w:r>
          </w:p>
        </w:tc>
        <w:tc>
          <w:tcPr>
            <w:tcW w:w="5687" w:type="dxa"/>
            <w:gridSpan w:val="4"/>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45"/>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lastRenderedPageBreak/>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Wawancara – Sumber informasi</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Pengusaha, Organisasi Masyarakat Adat, LSM</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2115"/>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FIIIa1</w:t>
            </w:r>
          </w:p>
        </w:tc>
        <w:tc>
          <w:tcPr>
            <w:tcW w:w="1325" w:type="dxa"/>
            <w:vMerge w:val="restart"/>
            <w:tcBorders>
              <w:top w:val="nil"/>
              <w:left w:val="single" w:sz="4" w:space="0" w:color="auto"/>
              <w:bottom w:val="single" w:sz="4" w:space="0" w:color="000000"/>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 xml:space="preserve">Jumlah biaya transaksi pengurusan izin pengelolaan hutan </w:t>
            </w:r>
          </w:p>
        </w:tc>
        <w:tc>
          <w:tcPr>
            <w:tcW w:w="1777" w:type="dxa"/>
            <w:vMerge w:val="restart"/>
            <w:tcBorders>
              <w:top w:val="nil"/>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Jumlah biaya transaksi pengurusan izin pengelolaan hutan</w:t>
            </w:r>
          </w:p>
        </w:tc>
        <w:tc>
          <w:tcPr>
            <w:tcW w:w="1168"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LSM</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Kalau ada di atas materai istilahnya ya sudah sesuai dengan aturan tetapi mana kita tau yang tidak bermaterai. Dan praktik ini saya kira masih sulit dikendalikan. Siapa yang bisa menjangkaunya kecuali kita juga punya alat penyadapan.</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960"/>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Organisasi Masyarakat Adat Lokal</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jumlah biaya transaksi pengurusan izin pengelolaan hutan saya tidak ketahui</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3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69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932F7A">
              <w:rPr>
                <w:rFonts w:ascii="Times New Roman" w:eastAsia="Times New Roman" w:hAnsi="Times New Roman" w:cs="Times New Roman"/>
                <w:b/>
                <w:bCs/>
                <w:color w:val="000000"/>
                <w:sz w:val="20"/>
                <w:szCs w:val="20"/>
                <w:lang w:eastAsia="id-ID"/>
              </w:rPr>
              <w:br/>
              <w:t xml:space="preserve">  pemegang ijin</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Peraturan Prosedur Pelaksanaan Pengurusan Izin</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1395"/>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FIIIb1</w:t>
            </w:r>
          </w:p>
        </w:tc>
        <w:tc>
          <w:tcPr>
            <w:tcW w:w="1325" w:type="dxa"/>
            <w:vMerge w:val="restart"/>
            <w:tcBorders>
              <w:top w:val="nil"/>
              <w:left w:val="single" w:sz="4" w:space="0" w:color="auto"/>
              <w:bottom w:val="single" w:sz="4" w:space="0" w:color="000000"/>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 xml:space="preserve">Jumlah tahapan dan bentuk persyaratan setiap tahapan dalam pengurusan izin </w:t>
            </w:r>
          </w:p>
        </w:tc>
        <w:tc>
          <w:tcPr>
            <w:tcW w:w="1777" w:type="dxa"/>
            <w:vMerge w:val="restart"/>
            <w:tcBorders>
              <w:top w:val="nil"/>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Ada kemiripan dengan prosedur/Bagan Alur Permohonan Izin Pertambangan Non Logam dan Batuan oleh Dinas Energi dan Sumberdaya Mineral Kab. Sigi.</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Tahapannya sesuai dengan peraturan pemerintah selama ini yang sudah diberlakukan</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1500"/>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BPN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Ada kemiripan dengan prosedur/Bagan Alur Permohonan Izin Pertambangan Non Logam dan Batuan oleh Dinas Energi dan Sumberdaya Mineral Kab. Sigi.</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Bentuk persyaratannya dan jumlahnya tentu diberlakukan secara sama tanpa ada perbedaan satu dengan yang lainnya.</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127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Dinas Pertanian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Ada kemiripan dengan prosedur/Bagan Alur Permohonan Izin Pertambangan Non Logam dan Batuan oleh Dinas Energi dan Sumberdaya Mineral Kab. Sigi.</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Untuk pengurusan itu lebih banyak diselesaikan pada dinas yang paling terkait seperti kehutanan dan pertanahan.</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p>
        </w:tc>
        <w:tc>
          <w:tcPr>
            <w:tcW w:w="1325"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255"/>
        </w:trPr>
        <w:tc>
          <w:tcPr>
            <w:tcW w:w="3832" w:type="dxa"/>
            <w:gridSpan w:val="3"/>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Isu dalam PGA REDD+</w:t>
            </w:r>
          </w:p>
        </w:tc>
        <w:tc>
          <w:tcPr>
            <w:tcW w:w="5687" w:type="dxa"/>
            <w:gridSpan w:val="4"/>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63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932F7A">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2400"/>
        </w:trPr>
        <w:tc>
          <w:tcPr>
            <w:tcW w:w="730" w:type="dxa"/>
            <w:vMerge w:val="restart"/>
            <w:tcBorders>
              <w:top w:val="nil"/>
              <w:left w:val="single" w:sz="4" w:space="0" w:color="auto"/>
              <w:bottom w:val="single" w:sz="4" w:space="0" w:color="000000"/>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lastRenderedPageBreak/>
              <w:t>FIVa1</w:t>
            </w:r>
          </w:p>
        </w:tc>
        <w:tc>
          <w:tcPr>
            <w:tcW w:w="1325" w:type="dxa"/>
            <w:vMerge w:val="restart"/>
            <w:tcBorders>
              <w:top w:val="nil"/>
              <w:left w:val="single" w:sz="4" w:space="0" w:color="auto"/>
              <w:bottom w:val="single" w:sz="4" w:space="0" w:color="000000"/>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777" w:type="dxa"/>
            <w:vMerge w:val="restart"/>
            <w:tcBorders>
              <w:top w:val="nil"/>
              <w:left w:val="single" w:sz="4" w:space="0" w:color="auto"/>
              <w:bottom w:val="single" w:sz="4" w:space="0" w:color="000000"/>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ada data yang pasti yang kami miliki.</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510"/>
        </w:trPr>
        <w:tc>
          <w:tcPr>
            <w:tcW w:w="730"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BPN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Kami tidak mengetahui secara pasti berapa jumlahnya</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1275"/>
        </w:trPr>
        <w:tc>
          <w:tcPr>
            <w:tcW w:w="730"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Dinas Pertanian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Ada kelompok masyarakat, khususnya masyarakat adat. Tetapi berapa pastinya saya tidak hapal. (Tidak ada data tertulis yang diperlihatkan).</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p>
        </w:tc>
        <w:tc>
          <w:tcPr>
            <w:tcW w:w="1325"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1020"/>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FIVb1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p>
        </w:tc>
        <w:tc>
          <w:tcPr>
            <w:tcW w:w="1325"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c. Persentase hutan yang memiliki pengelola (KPH)</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Kementerian Kehutanan &amp; Dinas Kehutanan (Provinsi &amp; Kabupaten)</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510"/>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FIVc1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Persentase hutan yang memiliki pengelola (KPH)</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p>
        </w:tc>
        <w:tc>
          <w:tcPr>
            <w:tcW w:w="1325"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510"/>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FIVd1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 xml:space="preserve">Jumlah pengelolaan hutan berbasis ecological services </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p>
        </w:tc>
        <w:tc>
          <w:tcPr>
            <w:tcW w:w="1325"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255"/>
        </w:trPr>
        <w:tc>
          <w:tcPr>
            <w:tcW w:w="3832" w:type="dxa"/>
            <w:gridSpan w:val="3"/>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Isu dalam PGA REDD+</w:t>
            </w:r>
          </w:p>
        </w:tc>
        <w:tc>
          <w:tcPr>
            <w:tcW w:w="5687" w:type="dxa"/>
            <w:gridSpan w:val="4"/>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Laporan Inspektorat, BPKP &amp; BPK, Bawasda</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1020"/>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FVa1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 xml:space="preserve">Jumlah pelanggaran pengguna-an anggaran di tingkat provinsi dan kab/kota  </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BPK, BAWASDA, INSPEKTORAT</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tetrulis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informasi tertulis penyalahgunaan anggaran.</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p>
        </w:tc>
        <w:tc>
          <w:tcPr>
            <w:tcW w:w="1325"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lastRenderedPageBreak/>
              <w:t>Sumber data</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Kementrian &amp; Dinas Kehutanan</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1020"/>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FVb1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Jumlah sanksi administratif serius (pencabutan izin, dan denda, yang telah dijatuhkan)</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yang diperlihatkan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p>
        </w:tc>
        <w:tc>
          <w:tcPr>
            <w:tcW w:w="1325"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Kepolisian (Nasional &amp; Daerah)</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1020"/>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FVc1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 xml:space="preserve">Jumlah kasus pidana kehutanan yang diajukan/diproses oleh polisi </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Polres</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yang diperlihatkan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Ada beberapa kasus yang sudah diserahkan. Tetapi untuk wilayah sigi belum ada. (tidak ada bukti tertulis yang diberikan).</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p>
        </w:tc>
        <w:tc>
          <w:tcPr>
            <w:tcW w:w="1325"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585"/>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932F7A">
              <w:rPr>
                <w:rFonts w:ascii="Times New Roman" w:eastAsia="Times New Roman" w:hAnsi="Times New Roman" w:cs="Times New Roman"/>
                <w:b/>
                <w:bCs/>
                <w:color w:val="000000"/>
                <w:sz w:val="20"/>
                <w:szCs w:val="20"/>
                <w:lang w:eastAsia="id-ID"/>
              </w:rPr>
              <w:br/>
              <w:t xml:space="preserve">  diputuskan oleh MA</w:t>
            </w:r>
            <w:r w:rsidRPr="00932F7A">
              <w:rPr>
                <w:rFonts w:ascii="Times New Roman" w:eastAsia="Times New Roman" w:hAnsi="Times New Roman" w:cs="Times New Roman"/>
                <w:b/>
                <w:bCs/>
                <w:color w:val="000000"/>
                <w:sz w:val="20"/>
                <w:szCs w:val="20"/>
                <w:lang w:eastAsia="id-ID"/>
              </w:rPr>
              <w:br/>
              <w:t xml:space="preserve"> </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Kepolisian (Nasional &amp; Daerah)</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1500"/>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FVd1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Polres</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yang diperlihatkan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Ada kasus, tetapi di wilayah donggala, di sigi kami belum menangani.</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p>
        </w:tc>
        <w:tc>
          <w:tcPr>
            <w:tcW w:w="1325"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e. Index integritas KPK sektor kehutanan</w:t>
            </w:r>
            <w:r w:rsidRPr="00932F7A">
              <w:rPr>
                <w:rFonts w:ascii="Times New Roman" w:eastAsia="Times New Roman" w:hAnsi="Times New Roman" w:cs="Times New Roman"/>
                <w:b/>
                <w:bCs/>
                <w:color w:val="000000"/>
                <w:sz w:val="20"/>
                <w:szCs w:val="20"/>
                <w:lang w:eastAsia="id-ID"/>
              </w:rPr>
              <w:br/>
              <w:t xml:space="preserve"> </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Hasil Survai KPK tentang Integritas</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510"/>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FVe1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Index integritas KPK sektor kehutanan</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000000" w:fill="F2DDDC"/>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KPK &amp; TII</w:t>
            </w:r>
          </w:p>
        </w:tc>
        <w:tc>
          <w:tcPr>
            <w:tcW w:w="2968" w:type="dxa"/>
            <w:gridSpan w:val="2"/>
            <w:tcBorders>
              <w:top w:val="single" w:sz="4" w:space="0" w:color="auto"/>
              <w:left w:val="nil"/>
              <w:bottom w:val="single" w:sz="4" w:space="0" w:color="auto"/>
              <w:right w:val="single" w:sz="4" w:space="0" w:color="000000"/>
            </w:tcBorders>
            <w:shd w:val="clear" w:color="000000" w:fill="F2DDDC"/>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ada KPK di SIGI</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p>
        </w:tc>
        <w:tc>
          <w:tcPr>
            <w:tcW w:w="1325"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f. Index persepsi korupsi di lokasi assesmen (TII)</w:t>
            </w:r>
            <w:r w:rsidRPr="00932F7A">
              <w:rPr>
                <w:rFonts w:ascii="Times New Roman" w:eastAsia="Times New Roman" w:hAnsi="Times New Roman" w:cs="Times New Roman"/>
                <w:b/>
                <w:bCs/>
                <w:color w:val="000000"/>
                <w:sz w:val="20"/>
                <w:szCs w:val="20"/>
                <w:lang w:eastAsia="id-ID"/>
              </w:rPr>
              <w:br/>
            </w:r>
            <w:r w:rsidRPr="00932F7A">
              <w:rPr>
                <w:rFonts w:ascii="Times New Roman" w:eastAsia="Times New Roman" w:hAnsi="Times New Roman" w:cs="Times New Roman"/>
                <w:b/>
                <w:bCs/>
                <w:color w:val="000000"/>
                <w:sz w:val="20"/>
                <w:szCs w:val="20"/>
                <w:lang w:eastAsia="id-ID"/>
              </w:rPr>
              <w:br/>
            </w:r>
            <w:r w:rsidRPr="00932F7A">
              <w:rPr>
                <w:rFonts w:ascii="Times New Roman" w:eastAsia="Times New Roman" w:hAnsi="Times New Roman" w:cs="Times New Roman"/>
                <w:b/>
                <w:bCs/>
                <w:color w:val="000000"/>
                <w:sz w:val="20"/>
                <w:szCs w:val="20"/>
                <w:lang w:eastAsia="id-ID"/>
              </w:rPr>
              <w:br/>
              <w:t xml:space="preserve"> </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Hasil Survai Persepsi Transparansi Internasional Indonesia (TII)</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510"/>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FVf1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 xml:space="preserve">Index persepsi korupsi di lokasi assesmen (TII) </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000000" w:fill="F2DDDC"/>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KPK &amp; TII</w:t>
            </w:r>
          </w:p>
        </w:tc>
        <w:tc>
          <w:tcPr>
            <w:tcW w:w="2968" w:type="dxa"/>
            <w:gridSpan w:val="2"/>
            <w:tcBorders>
              <w:top w:val="single" w:sz="4" w:space="0" w:color="auto"/>
              <w:left w:val="nil"/>
              <w:bottom w:val="single" w:sz="4" w:space="0" w:color="auto"/>
              <w:right w:val="single" w:sz="4" w:space="0" w:color="000000"/>
            </w:tcBorders>
            <w:shd w:val="clear" w:color="000000" w:fill="F2DDDC"/>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ada KPK di SIGI</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p>
        </w:tc>
        <w:tc>
          <w:tcPr>
            <w:tcW w:w="1325"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615"/>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932F7A">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932F7A">
              <w:rPr>
                <w:rFonts w:ascii="Times New Roman" w:eastAsia="Times New Roman" w:hAnsi="Times New Roman" w:cs="Times New Roman"/>
                <w:b/>
                <w:bCs/>
                <w:color w:val="000000"/>
                <w:sz w:val="20"/>
                <w:szCs w:val="20"/>
                <w:lang w:eastAsia="id-ID"/>
              </w:rPr>
              <w:br/>
            </w:r>
            <w:r w:rsidRPr="00932F7A">
              <w:rPr>
                <w:rFonts w:ascii="Times New Roman" w:eastAsia="Times New Roman" w:hAnsi="Times New Roman" w:cs="Times New Roman"/>
                <w:b/>
                <w:bCs/>
                <w:color w:val="000000"/>
                <w:sz w:val="20"/>
                <w:szCs w:val="20"/>
                <w:lang w:eastAsia="id-ID"/>
              </w:rPr>
              <w:br/>
            </w:r>
            <w:r w:rsidRPr="00932F7A">
              <w:rPr>
                <w:rFonts w:ascii="Times New Roman" w:eastAsia="Times New Roman" w:hAnsi="Times New Roman" w:cs="Times New Roman"/>
                <w:b/>
                <w:bCs/>
                <w:color w:val="000000"/>
                <w:sz w:val="20"/>
                <w:szCs w:val="20"/>
                <w:lang w:eastAsia="id-ID"/>
              </w:rPr>
              <w:br/>
            </w:r>
            <w:r w:rsidRPr="00932F7A">
              <w:rPr>
                <w:rFonts w:ascii="Times New Roman" w:eastAsia="Times New Roman" w:hAnsi="Times New Roman" w:cs="Times New Roman"/>
                <w:b/>
                <w:bCs/>
                <w:color w:val="000000"/>
                <w:sz w:val="20"/>
                <w:szCs w:val="20"/>
                <w:lang w:eastAsia="id-ID"/>
              </w:rPr>
              <w:br/>
            </w:r>
            <w:r w:rsidRPr="00932F7A">
              <w:rPr>
                <w:rFonts w:ascii="Times New Roman" w:eastAsia="Times New Roman" w:hAnsi="Times New Roman" w:cs="Times New Roman"/>
                <w:b/>
                <w:bCs/>
                <w:color w:val="000000"/>
                <w:sz w:val="20"/>
                <w:szCs w:val="20"/>
                <w:lang w:eastAsia="id-ID"/>
              </w:rPr>
              <w:lastRenderedPageBreak/>
              <w:t xml:space="preserve"> </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lastRenderedPageBreak/>
              <w:t>Sumber data</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Laporan BPK</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1785"/>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FVg1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BPK, BAWASDA, INSPEKTORAT</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data tertulis yang diberikan.</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2</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p>
        </w:tc>
        <w:tc>
          <w:tcPr>
            <w:tcW w:w="1325"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h. Jumlah pengaduan masyarakat tentang kinerja pengelolaan hutan</w:t>
            </w:r>
            <w:r w:rsidRPr="00932F7A">
              <w:rPr>
                <w:rFonts w:ascii="Times New Roman" w:eastAsia="Times New Roman" w:hAnsi="Times New Roman" w:cs="Times New Roman"/>
                <w:b/>
                <w:bCs/>
                <w:color w:val="000000"/>
                <w:sz w:val="20"/>
                <w:szCs w:val="20"/>
                <w:lang w:eastAsia="id-ID"/>
              </w:rPr>
              <w:br/>
            </w:r>
            <w:r w:rsidRPr="00932F7A">
              <w:rPr>
                <w:rFonts w:ascii="Times New Roman" w:eastAsia="Times New Roman" w:hAnsi="Times New Roman" w:cs="Times New Roman"/>
                <w:b/>
                <w:bCs/>
                <w:color w:val="000000"/>
                <w:sz w:val="20"/>
                <w:szCs w:val="20"/>
                <w:lang w:eastAsia="id-ID"/>
              </w:rPr>
              <w:br/>
            </w:r>
            <w:r w:rsidRPr="00932F7A">
              <w:rPr>
                <w:rFonts w:ascii="Times New Roman" w:eastAsia="Times New Roman" w:hAnsi="Times New Roman" w:cs="Times New Roman"/>
                <w:b/>
                <w:bCs/>
                <w:color w:val="000000"/>
                <w:sz w:val="20"/>
                <w:szCs w:val="20"/>
                <w:lang w:eastAsia="id-ID"/>
              </w:rPr>
              <w:br/>
            </w:r>
            <w:r w:rsidRPr="00932F7A">
              <w:rPr>
                <w:rFonts w:ascii="Times New Roman" w:eastAsia="Times New Roman" w:hAnsi="Times New Roman" w:cs="Times New Roman"/>
                <w:b/>
                <w:bCs/>
                <w:color w:val="000000"/>
                <w:sz w:val="20"/>
                <w:szCs w:val="20"/>
                <w:lang w:eastAsia="id-ID"/>
              </w:rPr>
              <w:br/>
              <w:t xml:space="preserve"> </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Kementerian &amp; Dinas Kehutanan</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765"/>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FVh1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r w:rsidRPr="00932F7A">
              <w:rPr>
                <w:rFonts w:ascii="Times New Roman" w:eastAsia="Times New Roman" w:hAnsi="Times New Roman" w:cs="Times New Roman"/>
                <w:sz w:val="20"/>
                <w:szCs w:val="20"/>
                <w:lang w:eastAsia="id-ID"/>
              </w:rPr>
              <w:t xml:space="preserve">Jumlah pengaduan masyarakat tentang kinerja pengelolaan hutan </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xml:space="preserve">Tidak ada dokumen yang diperlihatkan </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yang ada kasus lain.</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3</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sz w:val="20"/>
                <w:szCs w:val="20"/>
                <w:lang w:eastAsia="id-ID"/>
              </w:rPr>
            </w:pPr>
          </w:p>
        </w:tc>
        <w:tc>
          <w:tcPr>
            <w:tcW w:w="1325"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255"/>
        </w:trPr>
        <w:tc>
          <w:tcPr>
            <w:tcW w:w="3832" w:type="dxa"/>
            <w:gridSpan w:val="3"/>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Isu dalam PGA REDD+</w:t>
            </w:r>
          </w:p>
        </w:tc>
        <w:tc>
          <w:tcPr>
            <w:tcW w:w="5687" w:type="dxa"/>
            <w:gridSpan w:val="4"/>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informasi</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255"/>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FVIa1</w:t>
            </w:r>
          </w:p>
        </w:tc>
        <w:tc>
          <w:tcPr>
            <w:tcW w:w="1325" w:type="dxa"/>
            <w:vMerge w:val="restart"/>
            <w:tcBorders>
              <w:top w:val="nil"/>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777" w:type="dxa"/>
            <w:vMerge w:val="restart"/>
            <w:tcBorders>
              <w:top w:val="nil"/>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r>
      <w:tr w:rsidR="00932F7A" w:rsidRPr="00932F7A" w:rsidTr="00932F7A">
        <w:trPr>
          <w:trHeight w:val="112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000000" w:fill="F2DDDC"/>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Satgas REDD+</w:t>
            </w:r>
          </w:p>
        </w:tc>
        <w:tc>
          <w:tcPr>
            <w:tcW w:w="2968" w:type="dxa"/>
            <w:gridSpan w:val="2"/>
            <w:tcBorders>
              <w:top w:val="single" w:sz="4" w:space="0" w:color="auto"/>
              <w:left w:val="nil"/>
              <w:bottom w:val="single" w:sz="4" w:space="0" w:color="auto"/>
              <w:right w:val="single" w:sz="4" w:space="0" w:color="000000"/>
            </w:tcBorders>
            <w:shd w:val="clear" w:color="000000" w:fill="F2DDDC"/>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3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777"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b. Tingkat penerimaan Strategi REDD+ oleh para aktor</w:t>
            </w:r>
            <w:r w:rsidRPr="00932F7A">
              <w:rPr>
                <w:rFonts w:ascii="Times New Roman" w:eastAsia="Times New Roman" w:hAnsi="Times New Roman" w:cs="Times New Roman"/>
                <w:b/>
                <w:bCs/>
                <w:color w:val="000000"/>
                <w:sz w:val="20"/>
                <w:szCs w:val="20"/>
                <w:lang w:eastAsia="id-ID"/>
              </w:rPr>
              <w:br/>
            </w:r>
          </w:p>
        </w:tc>
      </w:tr>
      <w:tr w:rsidR="00932F7A" w:rsidRPr="00932F7A" w:rsidTr="00932F7A">
        <w:trPr>
          <w:trHeight w:val="66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informasi</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510"/>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FVIb1</w:t>
            </w:r>
          </w:p>
        </w:tc>
        <w:tc>
          <w:tcPr>
            <w:tcW w:w="1325" w:type="dxa"/>
            <w:vMerge w:val="restart"/>
            <w:tcBorders>
              <w:top w:val="nil"/>
              <w:left w:val="single" w:sz="4" w:space="0" w:color="auto"/>
              <w:bottom w:val="single" w:sz="4" w:space="0" w:color="000000"/>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777" w:type="dxa"/>
            <w:vMerge w:val="restart"/>
            <w:tcBorders>
              <w:top w:val="nil"/>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Bagaimana penerimaan Strate-gi REDD+ oleh para aktor?</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280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Bappeda</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Bagi kami REDD+ ini sangat bagus dan sangat kami terima. Hanya saja selama ini sosialisasinya masih sebatas di Provinsi, kami belum disentuh. Saya tau kalau sudah dibentuk POKJA REDD di Propinsi, tapi saya kira kabupaten belum ada sama sekali responnya kecuali adanya SK Bupati tentang persetujuannya dimasukkan dalam wilayah REDD+</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5</w:t>
            </w:r>
          </w:p>
        </w:tc>
      </w:tr>
      <w:tr w:rsidR="00932F7A" w:rsidRPr="00932F7A" w:rsidTr="00932F7A">
        <w:trPr>
          <w:trHeight w:val="510"/>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LSM</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76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Organisasi Masyarakat Adat Lokal</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510"/>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FVIb2</w:t>
            </w:r>
          </w:p>
        </w:tc>
        <w:tc>
          <w:tcPr>
            <w:tcW w:w="1325" w:type="dxa"/>
            <w:vMerge w:val="restart"/>
            <w:tcBorders>
              <w:top w:val="nil"/>
              <w:left w:val="single" w:sz="4" w:space="0" w:color="auto"/>
              <w:bottom w:val="single" w:sz="4" w:space="0" w:color="000000"/>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777" w:type="dxa"/>
            <w:vMerge w:val="restart"/>
            <w:tcBorders>
              <w:top w:val="nil"/>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Apakah Kelembagaan REDD+ sudah memadai?</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130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Bappeda</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Disigi ini belum ada kelembagaan REDD+ atau belum dibentuk. Tapi bukan berarti kami tidak menyetujui. Itu karena belum adanya sosialisasi.</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510"/>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LSM</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76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Organisasi Masyarakat Adat Lokal</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510"/>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FVIb3</w:t>
            </w:r>
          </w:p>
        </w:tc>
        <w:tc>
          <w:tcPr>
            <w:tcW w:w="1325" w:type="dxa"/>
            <w:vMerge w:val="restart"/>
            <w:tcBorders>
              <w:top w:val="nil"/>
              <w:left w:val="single" w:sz="4" w:space="0" w:color="auto"/>
              <w:bottom w:val="single" w:sz="4" w:space="0" w:color="000000"/>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777" w:type="dxa"/>
            <w:vMerge w:val="restart"/>
            <w:tcBorders>
              <w:top w:val="nil"/>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Apakah Kerangka Pengaman sudah memadai?</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510"/>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Bappeda</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510"/>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LSM</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76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Organisasi Masyarakat Adat Lokal</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510"/>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FVIb4</w:t>
            </w:r>
          </w:p>
        </w:tc>
        <w:tc>
          <w:tcPr>
            <w:tcW w:w="1325" w:type="dxa"/>
            <w:vMerge w:val="restart"/>
            <w:tcBorders>
              <w:top w:val="nil"/>
              <w:left w:val="single" w:sz="4" w:space="0" w:color="auto"/>
              <w:bottom w:val="single" w:sz="4" w:space="0" w:color="000000"/>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777" w:type="dxa"/>
            <w:vMerge w:val="restart"/>
            <w:tcBorders>
              <w:top w:val="nil"/>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Apakah (mekanisme) MRV sudah memadai?</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510"/>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Bappeda</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510"/>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LSM</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765"/>
        </w:trPr>
        <w:tc>
          <w:tcPr>
            <w:tcW w:w="730"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25" w:type="dxa"/>
            <w:vMerge/>
            <w:tcBorders>
              <w:top w:val="nil"/>
              <w:left w:val="single" w:sz="4" w:space="0" w:color="auto"/>
              <w:bottom w:val="single" w:sz="4" w:space="0" w:color="000000"/>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777" w:type="dxa"/>
            <w:vMerge/>
            <w:tcBorders>
              <w:top w:val="nil"/>
              <w:left w:val="single" w:sz="4" w:space="0" w:color="auto"/>
              <w:bottom w:val="single" w:sz="4" w:space="0" w:color="auto"/>
              <w:right w:val="single" w:sz="4" w:space="0" w:color="auto"/>
            </w:tcBorders>
            <w:vAlign w:val="center"/>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Organisasi Masyarakat Adat Lokal</w:t>
            </w:r>
          </w:p>
        </w:tc>
        <w:tc>
          <w:tcPr>
            <w:tcW w:w="1825"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43"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3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c. Tingkat deforestasi di lokasi assesmen</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informasi</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Kementerian &amp; Dinas Kehutanan</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510"/>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FVIc1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xml:space="preserve">Tingkat deforestasi di lokasi assesmen </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3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lastRenderedPageBreak/>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d. Tingkat degradasi hutan di lokasi assesmen</w:t>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informasi</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Kementerian &amp; Dinas Kehutanan</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510"/>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FVId1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xml:space="preserve">Tingkat degradasi hutan di lokasi assesmen </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r>
      <w:tr w:rsidR="00932F7A" w:rsidRPr="00932F7A" w:rsidTr="00932F7A">
        <w:trPr>
          <w:trHeight w:val="255"/>
        </w:trPr>
        <w:tc>
          <w:tcPr>
            <w:tcW w:w="730"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3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168"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825"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c>
          <w:tcPr>
            <w:tcW w:w="1551"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p>
        </w:tc>
      </w:tr>
      <w:tr w:rsidR="00932F7A" w:rsidRPr="00932F7A" w:rsidTr="00932F7A">
        <w:trPr>
          <w:trHeight w:val="6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Indikator</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p>
        </w:tc>
        <w:tc>
          <w:tcPr>
            <w:tcW w:w="7069" w:type="dxa"/>
            <w:gridSpan w:val="5"/>
            <w:tcBorders>
              <w:top w:val="nil"/>
              <w:left w:val="nil"/>
              <w:bottom w:val="nil"/>
              <w:right w:val="nil"/>
            </w:tcBorders>
            <w:shd w:val="clear" w:color="auto" w:fill="auto"/>
            <w:hideMark/>
          </w:tcPr>
          <w:p w:rsidR="00932F7A" w:rsidRPr="00932F7A" w:rsidRDefault="00932F7A" w:rsidP="00932F7A">
            <w:pPr>
              <w:spacing w:after="24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932F7A">
              <w:rPr>
                <w:rFonts w:ascii="Times New Roman" w:eastAsia="Times New Roman" w:hAnsi="Times New Roman" w:cs="Times New Roman"/>
                <w:b/>
                <w:bCs/>
                <w:color w:val="000000"/>
                <w:sz w:val="20"/>
                <w:szCs w:val="20"/>
                <w:lang w:eastAsia="id-ID"/>
              </w:rPr>
              <w:br/>
              <w:t xml:space="preserve">  REDD+ (demonstration ativities)</w:t>
            </w:r>
            <w:r w:rsidRPr="00932F7A">
              <w:rPr>
                <w:rFonts w:ascii="Times New Roman" w:eastAsia="Times New Roman" w:hAnsi="Times New Roman" w:cs="Times New Roman"/>
                <w:b/>
                <w:bCs/>
                <w:color w:val="000000"/>
                <w:sz w:val="20"/>
                <w:szCs w:val="20"/>
                <w:lang w:eastAsia="id-ID"/>
              </w:rPr>
              <w:br/>
            </w:r>
          </w:p>
        </w:tc>
      </w:tr>
      <w:tr w:rsidR="00932F7A" w:rsidRPr="00932F7A" w:rsidTr="00932F7A">
        <w:trPr>
          <w:trHeight w:val="300"/>
        </w:trPr>
        <w:tc>
          <w:tcPr>
            <w:tcW w:w="2055" w:type="dxa"/>
            <w:gridSpan w:val="2"/>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informasi</w:t>
            </w:r>
          </w:p>
        </w:tc>
        <w:tc>
          <w:tcPr>
            <w:tcW w:w="1777" w:type="dxa"/>
            <w:tcBorders>
              <w:top w:val="nil"/>
              <w:left w:val="nil"/>
              <w:bottom w:val="nil"/>
              <w:right w:val="nil"/>
            </w:tcBorders>
            <w:shd w:val="clear" w:color="auto" w:fill="auto"/>
            <w:noWrap/>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p>
        </w:tc>
        <w:tc>
          <w:tcPr>
            <w:tcW w:w="7069" w:type="dxa"/>
            <w:gridSpan w:val="5"/>
            <w:tcBorders>
              <w:top w:val="nil"/>
              <w:left w:val="nil"/>
              <w:bottom w:val="single" w:sz="4" w:space="0" w:color="auto"/>
              <w:right w:val="nil"/>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 Kementerian &amp; Dinas Kehutanan</w:t>
            </w:r>
          </w:p>
        </w:tc>
      </w:tr>
      <w:tr w:rsidR="00932F7A" w:rsidRPr="00932F7A" w:rsidTr="00932F7A">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Kode</w:t>
            </w:r>
          </w:p>
        </w:tc>
        <w:tc>
          <w:tcPr>
            <w:tcW w:w="1325"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Panduan Analisis Dokumen</w:t>
            </w:r>
          </w:p>
        </w:tc>
        <w:tc>
          <w:tcPr>
            <w:tcW w:w="1777" w:type="dxa"/>
            <w:tcBorders>
              <w:top w:val="single" w:sz="4" w:space="0" w:color="auto"/>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Pertanyaan Wawancara</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Sumber Data</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Dokumen</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Dokumen</w:t>
            </w:r>
          </w:p>
        </w:tc>
        <w:tc>
          <w:tcPr>
            <w:tcW w:w="1551"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b/>
                <w:bCs/>
                <w:color w:val="000000"/>
                <w:sz w:val="20"/>
                <w:szCs w:val="20"/>
                <w:lang w:eastAsia="id-ID"/>
              </w:rPr>
            </w:pPr>
            <w:r w:rsidRPr="00932F7A">
              <w:rPr>
                <w:rFonts w:ascii="Times New Roman" w:eastAsia="Times New Roman" w:hAnsi="Times New Roman" w:cs="Times New Roman"/>
                <w:b/>
                <w:bCs/>
                <w:color w:val="000000"/>
                <w:sz w:val="20"/>
                <w:szCs w:val="20"/>
                <w:lang w:eastAsia="id-ID"/>
              </w:rPr>
              <w:t>Kategori Data Wawancara</w:t>
            </w:r>
          </w:p>
        </w:tc>
      </w:tr>
      <w:tr w:rsidR="00932F7A" w:rsidRPr="00932F7A" w:rsidTr="00932F7A">
        <w:trPr>
          <w:trHeight w:val="1530"/>
        </w:trPr>
        <w:tc>
          <w:tcPr>
            <w:tcW w:w="730" w:type="dxa"/>
            <w:tcBorders>
              <w:top w:val="nil"/>
              <w:left w:val="single" w:sz="4" w:space="0" w:color="auto"/>
              <w:bottom w:val="single" w:sz="4" w:space="0" w:color="auto"/>
              <w:right w:val="single" w:sz="4" w:space="0" w:color="auto"/>
            </w:tcBorders>
            <w:shd w:val="clear" w:color="auto" w:fill="auto"/>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FVIe1</w:t>
            </w:r>
          </w:p>
        </w:tc>
        <w:tc>
          <w:tcPr>
            <w:tcW w:w="13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777"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 </w:t>
            </w:r>
          </w:p>
        </w:tc>
        <w:tc>
          <w:tcPr>
            <w:tcW w:w="1168"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Kehutanan</w:t>
            </w:r>
          </w:p>
        </w:tc>
        <w:tc>
          <w:tcPr>
            <w:tcW w:w="1825"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Tidak ada dokumen tertulis</w:t>
            </w:r>
          </w:p>
        </w:tc>
        <w:tc>
          <w:tcPr>
            <w:tcW w:w="1143" w:type="dxa"/>
            <w:tcBorders>
              <w:top w:val="nil"/>
              <w:left w:val="nil"/>
              <w:bottom w:val="single" w:sz="4" w:space="0" w:color="auto"/>
              <w:right w:val="single" w:sz="4" w:space="0" w:color="auto"/>
            </w:tcBorders>
            <w:shd w:val="clear" w:color="auto" w:fill="auto"/>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c>
          <w:tcPr>
            <w:tcW w:w="1551" w:type="dxa"/>
            <w:tcBorders>
              <w:top w:val="nil"/>
              <w:left w:val="nil"/>
              <w:bottom w:val="single" w:sz="4" w:space="0" w:color="auto"/>
              <w:right w:val="single" w:sz="4" w:space="0" w:color="auto"/>
            </w:tcBorders>
            <w:shd w:val="clear" w:color="000000" w:fill="000000"/>
            <w:hideMark/>
          </w:tcPr>
          <w:p w:rsidR="00932F7A" w:rsidRPr="00932F7A" w:rsidRDefault="00932F7A" w:rsidP="00932F7A">
            <w:pPr>
              <w:spacing w:after="0" w:line="240" w:lineRule="auto"/>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Belum terbentuk Infrastruktur REDD+</w:t>
            </w:r>
          </w:p>
        </w:tc>
        <w:tc>
          <w:tcPr>
            <w:tcW w:w="1382" w:type="dxa"/>
            <w:tcBorders>
              <w:top w:val="nil"/>
              <w:left w:val="nil"/>
              <w:bottom w:val="single" w:sz="4" w:space="0" w:color="auto"/>
              <w:right w:val="single" w:sz="4" w:space="0" w:color="auto"/>
            </w:tcBorders>
            <w:shd w:val="clear" w:color="000000" w:fill="000000"/>
            <w:noWrap/>
            <w:hideMark/>
          </w:tcPr>
          <w:p w:rsidR="00932F7A" w:rsidRPr="00932F7A" w:rsidRDefault="00932F7A" w:rsidP="00932F7A">
            <w:pPr>
              <w:spacing w:after="0" w:line="240" w:lineRule="auto"/>
              <w:jc w:val="center"/>
              <w:rPr>
                <w:rFonts w:ascii="Times New Roman" w:eastAsia="Times New Roman" w:hAnsi="Times New Roman" w:cs="Times New Roman"/>
                <w:color w:val="000000"/>
                <w:sz w:val="20"/>
                <w:szCs w:val="20"/>
                <w:lang w:eastAsia="id-ID"/>
              </w:rPr>
            </w:pPr>
            <w:r w:rsidRPr="00932F7A">
              <w:rPr>
                <w:rFonts w:ascii="Times New Roman" w:eastAsia="Times New Roman" w:hAnsi="Times New Roman" w:cs="Times New Roman"/>
                <w:color w:val="000000"/>
                <w:sz w:val="20"/>
                <w:szCs w:val="20"/>
                <w:lang w:eastAsia="id-ID"/>
              </w:rPr>
              <w:t>1</w:t>
            </w:r>
          </w:p>
        </w:tc>
      </w:tr>
    </w:tbl>
    <w:p w:rsidR="00932F7A" w:rsidRDefault="00932F7A"/>
    <w:sectPr w:rsidR="00932F7A"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55FEE"/>
    <w:rsid w:val="005D2D3D"/>
    <w:rsid w:val="006E5970"/>
    <w:rsid w:val="00932F7A"/>
    <w:rsid w:val="009F3E98"/>
    <w:rsid w:val="00A91768"/>
    <w:rsid w:val="00BB5203"/>
    <w:rsid w:val="00C622FE"/>
    <w:rsid w:val="00D74DB4"/>
    <w:rsid w:val="00D9058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932F7A"/>
    <w:pPr>
      <w:spacing w:before="100" w:beforeAutospacing="1" w:after="100" w:afterAutospacing="1" w:line="240" w:lineRule="auto"/>
    </w:pPr>
    <w:rPr>
      <w:rFonts w:ascii="Times New Roman" w:eastAsia="Times New Roman" w:hAnsi="Times New Roman" w:cs="Times New Roman"/>
      <w:color w:val="000000"/>
      <w:sz w:val="20"/>
      <w:szCs w:val="20"/>
      <w:u w:val="single"/>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 w:id="1940678209">
      <w:bodyDiv w:val="1"/>
      <w:marLeft w:val="0"/>
      <w:marRight w:val="0"/>
      <w:marTop w:val="0"/>
      <w:marBottom w:val="0"/>
      <w:divBdr>
        <w:top w:val="none" w:sz="0" w:space="0" w:color="auto"/>
        <w:left w:val="none" w:sz="0" w:space="0" w:color="auto"/>
        <w:bottom w:val="none" w:sz="0" w:space="0" w:color="auto"/>
        <w:right w:val="none" w:sz="0" w:space="0" w:color="auto"/>
      </w:divBdr>
    </w:div>
    <w:div w:id="202246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3898</Words>
  <Characters>22221</Characters>
  <Application>Microsoft Office Word</Application>
  <DocSecurity>0</DocSecurity>
  <Lines>185</Lines>
  <Paragraphs>52</Paragraphs>
  <ScaleCrop>false</ScaleCrop>
  <Company/>
  <LinksUpToDate>false</LinksUpToDate>
  <CharactersWithSpaces>26067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6</cp:revision>
  <dcterms:created xsi:type="dcterms:W3CDTF">2012-10-16T01:42:00Z</dcterms:created>
  <dcterms:modified xsi:type="dcterms:W3CDTF">2012-10-16T08:18:00Z</dcterms:modified>
</cp:coreProperties>
</file>